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Kathy S.: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Sheppard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popcorn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Rumrill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Phillip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certainly, and thanks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Rehabilitation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interdisciplinary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Kathy S.: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Phillip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Kathy S.: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Phillip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rehabilitation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hierarchy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hierarchy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hierarchy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hierarchy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hierarchy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hierarchy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hierarchy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arrangement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hierarchy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did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Kathy S.: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injuries?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Phillip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It's a huge deal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return-to-work hierarchy,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their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empirically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rehabilitation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deliberate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deliberation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rehabilitation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musculoskeletal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hierarchy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to prevent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permanently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who've acquired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manifestly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interdisciplinary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Kathy S.: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Phillip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cocktail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either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telecommuting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manifests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compromises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reintegrate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Minnesota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remuneration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compromises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demotivating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work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Cleveland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affiliation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Kathy S.: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Phillip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marshal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help. You're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unobtrusive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stigmatizing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They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vehicle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Kathy S.: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Rumrill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homesteading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relinquish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Rumrill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Phillip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underscores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interdisciplinary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Kathy S.: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Thank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$2.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OD325481875421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Pod 3 Trim V2 (Completed  01/08/20)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08,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"https://www.rev.com/transcript-editor/Edit?token=wE-520fjJSenq0TrAFhCXFWFFjMv1MvLwb2Sgu-rS-YV85uMkaaBBCAS0GYJaIy5MIt4SkHJUlWgqzjhTW63R4KvTYk&amp;loadFrom=DocumentHeaderDeepLink"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